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40" w:rsidRPr="009021E2" w:rsidRDefault="00B53C98" w:rsidP="009021E2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康寧學校財團法人</w:t>
      </w:r>
      <w:r w:rsidR="00976040" w:rsidRPr="009021E2">
        <w:rPr>
          <w:rFonts w:eastAsia="標楷體" w:hint="eastAsia"/>
          <w:b/>
          <w:kern w:val="0"/>
          <w:sz w:val="32"/>
          <w:szCs w:val="32"/>
        </w:rPr>
        <w:t>康寧大學數位應用學系</w:t>
      </w:r>
    </w:p>
    <w:p w:rsidR="00976040" w:rsidRPr="009021E2" w:rsidRDefault="00976040" w:rsidP="009021E2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9021E2">
        <w:rPr>
          <w:rFonts w:eastAsia="標楷體" w:hint="eastAsia"/>
          <w:b/>
          <w:kern w:val="0"/>
          <w:sz w:val="32"/>
          <w:szCs w:val="32"/>
        </w:rPr>
        <w:t>學生英文能力畢業門檻及獎勵實施辦法</w:t>
      </w:r>
    </w:p>
    <w:p w:rsidR="00976040" w:rsidRDefault="00976040" w:rsidP="009021E2">
      <w:pPr>
        <w:snapToGrid w:val="0"/>
        <w:spacing w:before="100" w:beforeAutospacing="1"/>
        <w:jc w:val="right"/>
        <w:rPr>
          <w:rFonts w:eastAsia="標楷體"/>
          <w:kern w:val="0"/>
          <w:sz w:val="20"/>
          <w:szCs w:val="20"/>
        </w:rPr>
      </w:pPr>
      <w:r w:rsidRPr="00BE2B76">
        <w:rPr>
          <w:rFonts w:eastAsia="標楷體"/>
          <w:kern w:val="0"/>
          <w:sz w:val="20"/>
          <w:szCs w:val="20"/>
        </w:rPr>
        <w:t xml:space="preserve">98.03.06 </w:t>
      </w:r>
      <w:r w:rsidRPr="00BE2B76">
        <w:rPr>
          <w:rFonts w:eastAsia="標楷體" w:hint="eastAsia"/>
          <w:kern w:val="0"/>
          <w:sz w:val="20"/>
          <w:szCs w:val="20"/>
        </w:rPr>
        <w:t>九十七學年度第二學期</w:t>
      </w:r>
      <w:r>
        <w:rPr>
          <w:rFonts w:eastAsia="標楷體" w:hint="eastAsia"/>
          <w:kern w:val="0"/>
          <w:sz w:val="20"/>
          <w:szCs w:val="20"/>
        </w:rPr>
        <w:t>第四次課程</w:t>
      </w:r>
      <w:r w:rsidRPr="00BE2B76">
        <w:rPr>
          <w:rFonts w:eastAsia="標楷體" w:hint="eastAsia"/>
          <w:kern w:val="0"/>
          <w:sz w:val="20"/>
          <w:szCs w:val="20"/>
        </w:rPr>
        <w:t>籌備</w:t>
      </w:r>
      <w:r>
        <w:rPr>
          <w:rFonts w:eastAsia="標楷體" w:hint="eastAsia"/>
          <w:kern w:val="0"/>
          <w:sz w:val="20"/>
          <w:szCs w:val="20"/>
        </w:rPr>
        <w:t>委員</w:t>
      </w:r>
      <w:r w:rsidRPr="00BE2B76">
        <w:rPr>
          <w:rFonts w:eastAsia="標楷體" w:hint="eastAsia"/>
          <w:kern w:val="0"/>
          <w:sz w:val="20"/>
          <w:szCs w:val="20"/>
        </w:rPr>
        <w:t>會通過</w:t>
      </w:r>
    </w:p>
    <w:p w:rsidR="00976040" w:rsidRDefault="00976040" w:rsidP="009021E2">
      <w:pPr>
        <w:snapToGrid w:val="0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98.08.05</w:t>
      </w:r>
      <w:r>
        <w:rPr>
          <w:rFonts w:eastAsia="標楷體" w:hint="eastAsia"/>
          <w:kern w:val="0"/>
          <w:sz w:val="20"/>
          <w:szCs w:val="20"/>
        </w:rPr>
        <w:t>九十八學年度第一學期第一次系</w:t>
      </w:r>
      <w:proofErr w:type="gramStart"/>
      <w:r>
        <w:rPr>
          <w:rFonts w:eastAsia="標楷體" w:hint="eastAsia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976040" w:rsidRDefault="00976040" w:rsidP="009021E2">
      <w:pPr>
        <w:snapToGrid w:val="0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98.09.03</w:t>
      </w:r>
      <w:r>
        <w:rPr>
          <w:rFonts w:eastAsia="標楷體" w:hint="eastAsia"/>
          <w:kern w:val="0"/>
          <w:sz w:val="20"/>
          <w:szCs w:val="20"/>
        </w:rPr>
        <w:t>九十八學年度第一學期第二次系</w:t>
      </w:r>
      <w:proofErr w:type="gramStart"/>
      <w:r>
        <w:rPr>
          <w:rFonts w:eastAsia="標楷體" w:hint="eastAsia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kern w:val="0"/>
          <w:sz w:val="20"/>
          <w:szCs w:val="20"/>
        </w:rPr>
        <w:t>會議修訂</w:t>
      </w:r>
    </w:p>
    <w:p w:rsidR="007C387C" w:rsidRDefault="00976040" w:rsidP="007C387C">
      <w:pPr>
        <w:snapToGrid w:val="0"/>
        <w:spacing w:before="100" w:beforeAutospacing="1" w:after="100" w:afterAutospacing="1"/>
        <w:contextualSpacing/>
        <w:jc w:val="right"/>
        <w:rPr>
          <w:rFonts w:eastAsia="標楷體" w:hint="eastAsia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99.03.02</w:t>
      </w:r>
      <w:r>
        <w:rPr>
          <w:rFonts w:eastAsia="標楷體" w:hint="eastAsia"/>
          <w:kern w:val="0"/>
          <w:sz w:val="20"/>
          <w:szCs w:val="20"/>
        </w:rPr>
        <w:t>九十八學年度第二學期第一次系</w:t>
      </w:r>
      <w:proofErr w:type="gramStart"/>
      <w:r>
        <w:rPr>
          <w:rFonts w:eastAsia="標楷體" w:hint="eastAsia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kern w:val="0"/>
          <w:sz w:val="20"/>
          <w:szCs w:val="20"/>
        </w:rPr>
        <w:t>會議修訂</w:t>
      </w:r>
    </w:p>
    <w:p w:rsidR="007C387C" w:rsidRPr="00956780" w:rsidRDefault="007C387C" w:rsidP="007C387C">
      <w:pPr>
        <w:snapToGrid w:val="0"/>
        <w:spacing w:before="100" w:beforeAutospacing="1" w:after="100" w:afterAutospacing="1"/>
        <w:contextualSpacing/>
        <w:jc w:val="right"/>
        <w:rPr>
          <w:rFonts w:ascii="標楷體" w:eastAsia="標楷體" w:hint="eastAsia"/>
          <w:sz w:val="18"/>
          <w:szCs w:val="18"/>
        </w:rPr>
      </w:pPr>
      <w:bookmarkStart w:id="0" w:name="_GoBack"/>
      <w:bookmarkEnd w:id="0"/>
      <w:r w:rsidRPr="00956780">
        <w:rPr>
          <w:rFonts w:ascii="標楷體" w:eastAsia="標楷體" w:hint="eastAsia"/>
          <w:sz w:val="18"/>
          <w:szCs w:val="18"/>
        </w:rPr>
        <w:t>民國104年9月14日 第54次行政會議通過</w:t>
      </w:r>
    </w:p>
    <w:p w:rsidR="007C387C" w:rsidRPr="00757CA7" w:rsidRDefault="007C387C" w:rsidP="007C387C">
      <w:pPr>
        <w:snapToGrid w:val="0"/>
        <w:spacing w:before="100" w:beforeAutospacing="1" w:after="100" w:afterAutospacing="1"/>
        <w:contextualSpacing/>
        <w:jc w:val="right"/>
        <w:rPr>
          <w:rFonts w:ascii="標楷體" w:eastAsia="標楷體"/>
          <w:sz w:val="18"/>
          <w:szCs w:val="18"/>
        </w:rPr>
      </w:pPr>
      <w:r w:rsidRPr="00956780">
        <w:rPr>
          <w:rFonts w:ascii="標楷體" w:eastAsia="標楷體" w:hint="eastAsia"/>
          <w:sz w:val="18"/>
          <w:szCs w:val="18"/>
        </w:rPr>
        <w:t>民國104年9月22日 第1次校務會議通過</w:t>
      </w:r>
    </w:p>
    <w:p w:rsidR="00976040" w:rsidRPr="007C387C" w:rsidRDefault="00976040" w:rsidP="009021E2">
      <w:pPr>
        <w:snapToGrid w:val="0"/>
        <w:spacing w:after="100" w:afterAutospacing="1"/>
        <w:jc w:val="right"/>
        <w:rPr>
          <w:rFonts w:eastAsia="標楷體"/>
          <w:kern w:val="0"/>
          <w:sz w:val="20"/>
          <w:szCs w:val="20"/>
        </w:rPr>
      </w:pPr>
    </w:p>
    <w:p w:rsidR="00976040" w:rsidRPr="00BE2B76" w:rsidRDefault="00976040" w:rsidP="009021E2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uto"/>
        <w:ind w:left="851" w:hanging="851"/>
        <w:jc w:val="both"/>
        <w:rPr>
          <w:rFonts w:eastAsia="標楷體"/>
          <w:kern w:val="0"/>
        </w:rPr>
      </w:pPr>
      <w:r w:rsidRPr="00BE2B76">
        <w:rPr>
          <w:rFonts w:eastAsia="標楷體"/>
          <w:kern w:val="0"/>
        </w:rPr>
        <w:t xml:space="preserve"> </w:t>
      </w:r>
      <w:r w:rsidR="00B53C98">
        <w:rPr>
          <w:rFonts w:eastAsia="標楷體" w:hint="eastAsia"/>
          <w:kern w:val="0"/>
        </w:rPr>
        <w:t>康寧學校財團法人</w:t>
      </w:r>
      <w:r>
        <w:rPr>
          <w:rFonts w:eastAsia="標楷體" w:hint="eastAsia"/>
          <w:kern w:val="0"/>
        </w:rPr>
        <w:t>康寧</w:t>
      </w:r>
      <w:r w:rsidRPr="00BE2B76">
        <w:rPr>
          <w:rFonts w:eastAsia="標楷體" w:hint="eastAsia"/>
          <w:kern w:val="0"/>
        </w:rPr>
        <w:t>大學數位應用學系為因應國際化的趨勢，增強學生的英語能力，並配合教育部四年施政主軸中「提昇大專院校學生外語能力」的具體目標，鼓勵各校制定通過外語檢定為畢業門檻，特訂定「</w:t>
      </w:r>
      <w:r w:rsidR="00B53C98">
        <w:rPr>
          <w:rFonts w:eastAsia="標楷體" w:hint="eastAsia"/>
          <w:kern w:val="0"/>
        </w:rPr>
        <w:t>康寧學校財團法人</w:t>
      </w:r>
      <w:r>
        <w:rPr>
          <w:rFonts w:eastAsia="標楷體" w:hint="eastAsia"/>
          <w:kern w:val="0"/>
        </w:rPr>
        <w:t>康寧</w:t>
      </w:r>
      <w:r w:rsidRPr="00BE2B76">
        <w:rPr>
          <w:rFonts w:eastAsia="標楷體" w:hint="eastAsia"/>
          <w:kern w:val="0"/>
        </w:rPr>
        <w:t>大學數位應用學系學生英文能力畢業門檻實施辦法」</w:t>
      </w:r>
      <w:r w:rsidRPr="00BE2B76">
        <w:rPr>
          <w:rFonts w:eastAsia="標楷體"/>
          <w:kern w:val="0"/>
        </w:rPr>
        <w:t>(</w:t>
      </w:r>
      <w:r w:rsidRPr="00BE2B76">
        <w:rPr>
          <w:rFonts w:eastAsia="標楷體" w:hint="eastAsia"/>
          <w:kern w:val="0"/>
        </w:rPr>
        <w:t>以下簡稱本辦法</w:t>
      </w:r>
      <w:r w:rsidRPr="00BE2B76">
        <w:rPr>
          <w:rFonts w:eastAsia="標楷體"/>
          <w:kern w:val="0"/>
        </w:rPr>
        <w:t>)</w:t>
      </w:r>
      <w:r w:rsidRPr="00BE2B76">
        <w:rPr>
          <w:rFonts w:eastAsia="標楷體" w:hint="eastAsia"/>
          <w:kern w:val="0"/>
        </w:rPr>
        <w:t>。</w:t>
      </w:r>
    </w:p>
    <w:p w:rsidR="00976040" w:rsidRPr="00BE2B76" w:rsidRDefault="00976040" w:rsidP="009021E2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uto"/>
        <w:ind w:left="851" w:hanging="851"/>
        <w:jc w:val="both"/>
        <w:rPr>
          <w:rFonts w:eastAsia="標楷體"/>
          <w:kern w:val="0"/>
        </w:rPr>
      </w:pPr>
      <w:r w:rsidRPr="00BE2B76">
        <w:rPr>
          <w:rFonts w:eastAsia="標楷體"/>
          <w:kern w:val="0"/>
        </w:rPr>
        <w:t xml:space="preserve"> </w:t>
      </w:r>
      <w:r w:rsidRPr="00BE2B76">
        <w:rPr>
          <w:rFonts w:eastAsia="標楷體" w:hint="eastAsia"/>
          <w:kern w:val="0"/>
        </w:rPr>
        <w:t>本辦法所稱全民英檢</w:t>
      </w:r>
      <w:r w:rsidRPr="00BE2B76">
        <w:rPr>
          <w:rFonts w:eastAsia="標楷體"/>
          <w:kern w:val="0"/>
        </w:rPr>
        <w:t>(</w:t>
      </w:r>
      <w:r w:rsidRPr="00BE2B76">
        <w:rPr>
          <w:rFonts w:eastAsia="標楷體" w:hint="eastAsia"/>
          <w:kern w:val="0"/>
        </w:rPr>
        <w:t>或英檢</w:t>
      </w:r>
      <w:r w:rsidRPr="00BE2B76">
        <w:rPr>
          <w:rFonts w:eastAsia="標楷體"/>
          <w:kern w:val="0"/>
        </w:rPr>
        <w:t>)</w:t>
      </w:r>
      <w:r w:rsidRPr="00BE2B76">
        <w:rPr>
          <w:rFonts w:eastAsia="標楷體" w:hint="eastAsia"/>
          <w:kern w:val="0"/>
        </w:rPr>
        <w:t>係指由財團法人語言訓練測驗中心所辦理之各級「全民英語能力分級檢定測驗」</w:t>
      </w:r>
      <w:r w:rsidRPr="00BE2B76">
        <w:rPr>
          <w:rFonts w:eastAsia="標楷體"/>
          <w:kern w:val="0"/>
        </w:rPr>
        <w:t>(GEPT)</w:t>
      </w:r>
      <w:r w:rsidRPr="00BE2B76">
        <w:rPr>
          <w:rFonts w:eastAsia="標楷體" w:hint="eastAsia"/>
          <w:kern w:val="0"/>
        </w:rPr>
        <w:t>。本辦法所</w:t>
      </w:r>
      <w:proofErr w:type="gramStart"/>
      <w:r w:rsidRPr="00BE2B76">
        <w:rPr>
          <w:rFonts w:eastAsia="標楷體" w:hint="eastAsia"/>
          <w:kern w:val="0"/>
        </w:rPr>
        <w:t>稱多益測驗</w:t>
      </w:r>
      <w:proofErr w:type="gramEnd"/>
      <w:r w:rsidRPr="00BE2B76">
        <w:rPr>
          <w:rFonts w:eastAsia="標楷體" w:hint="eastAsia"/>
          <w:kern w:val="0"/>
        </w:rPr>
        <w:t>係指由美國教育測驗服務社</w:t>
      </w:r>
      <w:r w:rsidRPr="00BE2B76">
        <w:rPr>
          <w:rFonts w:eastAsia="標楷體"/>
          <w:kern w:val="0"/>
        </w:rPr>
        <w:t xml:space="preserve"> (Educational Testing Service</w:t>
      </w:r>
      <w:r w:rsidRPr="00BE2B76">
        <w:rPr>
          <w:rFonts w:eastAsia="標楷體" w:hint="eastAsia"/>
          <w:kern w:val="0"/>
        </w:rPr>
        <w:t>，簡稱</w:t>
      </w:r>
      <w:r w:rsidRPr="00BE2B76">
        <w:rPr>
          <w:rFonts w:eastAsia="標楷體"/>
          <w:kern w:val="0"/>
        </w:rPr>
        <w:t>ETS)</w:t>
      </w:r>
      <w:r w:rsidRPr="00BE2B76">
        <w:rPr>
          <w:rFonts w:eastAsia="標楷體" w:hint="eastAsia"/>
          <w:kern w:val="0"/>
        </w:rPr>
        <w:t>研發並製作之檢定考試。</w:t>
      </w:r>
    </w:p>
    <w:p w:rsidR="00976040" w:rsidRPr="00BE2B76" w:rsidRDefault="00976040" w:rsidP="009021E2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uto"/>
        <w:ind w:left="851" w:hanging="851"/>
        <w:jc w:val="both"/>
        <w:rPr>
          <w:rFonts w:eastAsia="標楷體"/>
          <w:kern w:val="0"/>
        </w:rPr>
      </w:pPr>
      <w:r w:rsidRPr="00BE2B76">
        <w:rPr>
          <w:rFonts w:eastAsia="標楷體"/>
          <w:kern w:val="0"/>
        </w:rPr>
        <w:t xml:space="preserve"> </w:t>
      </w:r>
      <w:r w:rsidRPr="00BE2B76">
        <w:rPr>
          <w:rFonts w:eastAsia="標楷體" w:hint="eastAsia"/>
          <w:kern w:val="0"/>
        </w:rPr>
        <w:t>凡本系</w:t>
      </w:r>
      <w:r w:rsidRPr="00BE2B76">
        <w:rPr>
          <w:rFonts w:eastAsia="標楷體"/>
          <w:kern w:val="0"/>
        </w:rPr>
        <w:t>98</w:t>
      </w:r>
      <w:r w:rsidRPr="00BE2B76">
        <w:rPr>
          <w:rFonts w:eastAsia="標楷體" w:hint="eastAsia"/>
          <w:kern w:val="0"/>
        </w:rPr>
        <w:t>學年度</w:t>
      </w:r>
      <w:r w:rsidRPr="00BE2B76">
        <w:rPr>
          <w:rFonts w:eastAsia="標楷體"/>
          <w:kern w:val="0"/>
        </w:rPr>
        <w:t>(</w:t>
      </w:r>
      <w:r w:rsidRPr="00BE2B76">
        <w:rPr>
          <w:rFonts w:eastAsia="標楷體" w:hint="eastAsia"/>
          <w:kern w:val="0"/>
        </w:rPr>
        <w:t>含</w:t>
      </w:r>
      <w:r w:rsidRPr="00BE2B76">
        <w:rPr>
          <w:rFonts w:eastAsia="標楷體"/>
          <w:kern w:val="0"/>
        </w:rPr>
        <w:t>)</w:t>
      </w:r>
      <w:r w:rsidRPr="00BE2B76">
        <w:rPr>
          <w:rFonts w:eastAsia="標楷體" w:hint="eastAsia"/>
          <w:kern w:val="0"/>
        </w:rPr>
        <w:t>以後入學新生適用此畢業條件。</w:t>
      </w:r>
    </w:p>
    <w:p w:rsidR="00976040" w:rsidRPr="00BE2B76" w:rsidRDefault="00976040" w:rsidP="009021E2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uto"/>
        <w:ind w:left="851" w:hanging="851"/>
        <w:jc w:val="both"/>
        <w:rPr>
          <w:rFonts w:eastAsia="標楷體"/>
          <w:kern w:val="0"/>
        </w:rPr>
      </w:pPr>
      <w:r w:rsidRPr="00BE2B76">
        <w:rPr>
          <w:rFonts w:eastAsia="標楷體"/>
          <w:kern w:val="0"/>
        </w:rPr>
        <w:t xml:space="preserve"> </w:t>
      </w:r>
      <w:r w:rsidRPr="00BE2B76">
        <w:rPr>
          <w:rFonts w:eastAsia="標楷體" w:hint="eastAsia"/>
          <w:kern w:val="0"/>
        </w:rPr>
        <w:t>數位應用學系學生畢業資格，須符合下面四項條件之其中一</w:t>
      </w:r>
      <w:r w:rsidRPr="009509EE">
        <w:rPr>
          <w:rFonts w:ascii="標楷體" w:eastAsia="標楷體" w:hAnsi="標楷體" w:hint="eastAsia"/>
          <w:kern w:val="0"/>
        </w:rPr>
        <w:t>項</w:t>
      </w:r>
      <w:r>
        <w:rPr>
          <w:rFonts w:ascii="標楷體" w:eastAsia="標楷體" w:hAnsi="標楷體" w:hint="eastAsia"/>
          <w:kern w:val="0"/>
        </w:rPr>
        <w:t>：</w:t>
      </w:r>
    </w:p>
    <w:p w:rsidR="00976040" w:rsidRPr="00BE2B76" w:rsidRDefault="00976040" w:rsidP="009021E2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</w:rPr>
      </w:pPr>
      <w:r w:rsidRPr="00BE2B76">
        <w:rPr>
          <w:rFonts w:eastAsia="標楷體" w:hint="eastAsia"/>
          <w:kern w:val="0"/>
        </w:rPr>
        <w:t>通過全民英檢初級以上</w:t>
      </w:r>
    </w:p>
    <w:p w:rsidR="00976040" w:rsidRPr="00BE2B76" w:rsidRDefault="00976040" w:rsidP="009021E2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</w:rPr>
      </w:pPr>
      <w:proofErr w:type="gramStart"/>
      <w:r w:rsidRPr="00BE2B76">
        <w:rPr>
          <w:rFonts w:eastAsia="標楷體" w:hint="eastAsia"/>
          <w:kern w:val="0"/>
        </w:rPr>
        <w:t>多益測驗</w:t>
      </w:r>
      <w:proofErr w:type="gramEnd"/>
      <w:r w:rsidRPr="00BE2B76">
        <w:rPr>
          <w:rFonts w:eastAsia="標楷體" w:hint="eastAsia"/>
          <w:kern w:val="0"/>
        </w:rPr>
        <w:t>成績</w:t>
      </w:r>
      <w:r w:rsidRPr="00BE2B76">
        <w:rPr>
          <w:rFonts w:eastAsia="標楷體"/>
          <w:kern w:val="0"/>
        </w:rPr>
        <w:t xml:space="preserve">350 </w:t>
      </w:r>
      <w:r w:rsidRPr="00BE2B76">
        <w:rPr>
          <w:rFonts w:eastAsia="標楷體" w:hint="eastAsia"/>
          <w:kern w:val="0"/>
        </w:rPr>
        <w:t>分以上</w:t>
      </w:r>
    </w:p>
    <w:p w:rsidR="00976040" w:rsidRPr="00BE2B76" w:rsidRDefault="00976040" w:rsidP="009021E2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</w:rPr>
      </w:pPr>
      <w:r w:rsidRPr="00BE2B76">
        <w:rPr>
          <w:rFonts w:eastAsia="標楷體" w:hint="eastAsia"/>
          <w:kern w:val="0"/>
        </w:rPr>
        <w:t>通過本校語言中心英文能力檢定</w:t>
      </w:r>
    </w:p>
    <w:p w:rsidR="00976040" w:rsidRPr="00BE2B76" w:rsidRDefault="00976040" w:rsidP="009021E2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</w:rPr>
      </w:pPr>
      <w:r w:rsidRPr="00BE2B76">
        <w:rPr>
          <w:rFonts w:eastAsia="標楷體" w:hint="eastAsia"/>
          <w:kern w:val="0"/>
        </w:rPr>
        <w:t>若同學於大三學年結束前已參加前</w:t>
      </w:r>
      <w:r w:rsidRPr="00BE2B76">
        <w:rPr>
          <w:rFonts w:eastAsia="標楷體"/>
          <w:kern w:val="0"/>
        </w:rPr>
        <w:t>3</w:t>
      </w:r>
      <w:r w:rsidRPr="00BE2B76">
        <w:rPr>
          <w:rFonts w:eastAsia="標楷體" w:hint="eastAsia"/>
          <w:kern w:val="0"/>
        </w:rPr>
        <w:t>項認定而尚未通過者，畢業時除滿足課程總表畢業學分之外，另需於大四至少選修並通過</w:t>
      </w:r>
      <w:r w:rsidRPr="00BE2B76">
        <w:rPr>
          <w:rFonts w:eastAsia="標楷體"/>
          <w:kern w:val="0"/>
        </w:rPr>
        <w:t xml:space="preserve">2 </w:t>
      </w:r>
      <w:r w:rsidRPr="00BE2B76">
        <w:rPr>
          <w:rFonts w:eastAsia="標楷體" w:hint="eastAsia"/>
          <w:kern w:val="0"/>
        </w:rPr>
        <w:t>學分（含以上）經系主任同意之英文相關課程。</w:t>
      </w:r>
    </w:p>
    <w:p w:rsidR="00976040" w:rsidRPr="00A31672" w:rsidRDefault="00976040" w:rsidP="007E221B">
      <w:pPr>
        <w:ind w:left="1440" w:hangingChars="600" w:hanging="1440"/>
        <w:rPr>
          <w:rFonts w:eastAsia="標楷體"/>
        </w:rPr>
      </w:pPr>
    </w:p>
    <w:p w:rsidR="00976040" w:rsidRPr="002E393A" w:rsidRDefault="00976040" w:rsidP="009021E2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uto"/>
        <w:ind w:left="851" w:hanging="851"/>
        <w:jc w:val="both"/>
        <w:rPr>
          <w:rFonts w:eastAsia="標楷體"/>
          <w:kern w:val="0"/>
        </w:rPr>
      </w:pPr>
      <w:r>
        <w:rPr>
          <w:rFonts w:eastAsia="標楷體"/>
        </w:rPr>
        <w:t xml:space="preserve"> </w:t>
      </w:r>
      <w:r w:rsidRPr="00A31672">
        <w:rPr>
          <w:rFonts w:eastAsia="標楷體" w:hint="eastAsia"/>
        </w:rPr>
        <w:t>獎勵方式</w:t>
      </w:r>
      <w:r>
        <w:rPr>
          <w:rFonts w:eastAsia="標楷體" w:hint="eastAsia"/>
        </w:rPr>
        <w:t>：凡參加校外全民英</w:t>
      </w:r>
      <w:r w:rsidRPr="00A31672">
        <w:rPr>
          <w:rFonts w:eastAsia="標楷體" w:hint="eastAsia"/>
        </w:rPr>
        <w:t>語檢定及格者，本系補助檢定報名費，補助金額以實際報名費為原則</w:t>
      </w:r>
      <w:r w:rsidRPr="00015456">
        <w:rPr>
          <w:rFonts w:eastAsia="標楷體" w:hint="eastAsia"/>
        </w:rPr>
        <w:t>，所需經費由</w:t>
      </w:r>
      <w:proofErr w:type="gramStart"/>
      <w:r w:rsidRPr="00015456">
        <w:rPr>
          <w:rFonts w:eastAsia="標楷體" w:hint="eastAsia"/>
        </w:rPr>
        <w:t>本系每學年</w:t>
      </w:r>
      <w:proofErr w:type="gramEnd"/>
      <w:r w:rsidRPr="00015456">
        <w:rPr>
          <w:rFonts w:eastAsia="標楷體" w:hint="eastAsia"/>
        </w:rPr>
        <w:t>之系所經費支出</w:t>
      </w:r>
      <w:r w:rsidRPr="00A31672">
        <w:rPr>
          <w:rFonts w:eastAsia="標楷體" w:hint="eastAsia"/>
        </w:rPr>
        <w:t>，每學年最多補助十名，獎勵對象依先後次序用完為止。</w:t>
      </w:r>
    </w:p>
    <w:p w:rsidR="00976040" w:rsidRDefault="00976040" w:rsidP="009021E2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uto"/>
        <w:ind w:left="851" w:hanging="851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英檢證明</w:t>
      </w:r>
      <w:r w:rsidRPr="002E393A">
        <w:rPr>
          <w:rFonts w:eastAsia="標楷體" w:hint="eastAsia"/>
          <w:kern w:val="0"/>
        </w:rPr>
        <w:t>提交日期為</w:t>
      </w:r>
      <w:r>
        <w:rPr>
          <w:rFonts w:eastAsia="標楷體" w:hint="eastAsia"/>
          <w:kern w:val="0"/>
        </w:rPr>
        <w:t>學生畢業當學期之期末考</w:t>
      </w:r>
      <w:proofErr w:type="gramStart"/>
      <w:r>
        <w:rPr>
          <w:rFonts w:eastAsia="標楷體" w:hint="eastAsia"/>
          <w:kern w:val="0"/>
        </w:rPr>
        <w:t>週</w:t>
      </w:r>
      <w:proofErr w:type="gramEnd"/>
      <w:r>
        <w:rPr>
          <w:rFonts w:eastAsia="標楷體" w:hint="eastAsia"/>
          <w:kern w:val="0"/>
        </w:rPr>
        <w:t>前</w:t>
      </w:r>
      <w:proofErr w:type="gramStart"/>
      <w:r>
        <w:rPr>
          <w:rFonts w:eastAsia="標楷體" w:hint="eastAsia"/>
          <w:kern w:val="0"/>
        </w:rPr>
        <w:t>繳交至系辦</w:t>
      </w:r>
      <w:proofErr w:type="gramEnd"/>
      <w:r>
        <w:rPr>
          <w:rFonts w:eastAsia="標楷體" w:hint="eastAsia"/>
          <w:kern w:val="0"/>
        </w:rPr>
        <w:t>。</w:t>
      </w:r>
    </w:p>
    <w:p w:rsidR="00976040" w:rsidRPr="00BE2B76" w:rsidRDefault="00976040" w:rsidP="009021E2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60" w:lineRule="auto"/>
        <w:ind w:left="851" w:hanging="851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</w:t>
      </w:r>
      <w:r w:rsidRPr="00BE2B76">
        <w:rPr>
          <w:rFonts w:eastAsia="標楷體" w:hint="eastAsia"/>
          <w:kern w:val="0"/>
        </w:rPr>
        <w:t>本辦法經系</w:t>
      </w:r>
      <w:proofErr w:type="gramStart"/>
      <w:r w:rsidRPr="00BE2B76">
        <w:rPr>
          <w:rFonts w:eastAsia="標楷體" w:hint="eastAsia"/>
          <w:kern w:val="0"/>
        </w:rPr>
        <w:t>務</w:t>
      </w:r>
      <w:proofErr w:type="gramEnd"/>
      <w:r w:rsidRPr="00BE2B76">
        <w:rPr>
          <w:rFonts w:eastAsia="標楷體" w:hint="eastAsia"/>
          <w:kern w:val="0"/>
        </w:rPr>
        <w:t>會議通過並送院</w:t>
      </w:r>
      <w:proofErr w:type="gramStart"/>
      <w:r w:rsidRPr="00BE2B76">
        <w:rPr>
          <w:rFonts w:eastAsia="標楷體" w:hint="eastAsia"/>
          <w:kern w:val="0"/>
        </w:rPr>
        <w:t>務</w:t>
      </w:r>
      <w:proofErr w:type="gramEnd"/>
      <w:r w:rsidRPr="00BE2B76">
        <w:rPr>
          <w:rFonts w:eastAsia="標楷體" w:hint="eastAsia"/>
          <w:kern w:val="0"/>
        </w:rPr>
        <w:t>會議備查後公告施行，修正時亦同。</w:t>
      </w:r>
    </w:p>
    <w:p w:rsidR="00976040" w:rsidRPr="009509EE" w:rsidRDefault="00976040" w:rsidP="009021E2">
      <w:pPr>
        <w:autoSpaceDE w:val="0"/>
        <w:autoSpaceDN w:val="0"/>
        <w:adjustRightInd w:val="0"/>
        <w:jc w:val="center"/>
        <w:rPr>
          <w:kern w:val="0"/>
        </w:rPr>
      </w:pPr>
    </w:p>
    <w:p w:rsidR="00976040" w:rsidRPr="009021E2" w:rsidRDefault="00976040" w:rsidP="00D95F69">
      <w:pPr>
        <w:tabs>
          <w:tab w:val="left" w:pos="567"/>
        </w:tabs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976040" w:rsidRPr="009021E2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DD" w:rsidRDefault="00513ADD" w:rsidP="00116C34">
      <w:r>
        <w:separator/>
      </w:r>
    </w:p>
  </w:endnote>
  <w:endnote w:type="continuationSeparator" w:id="0">
    <w:p w:rsidR="00513ADD" w:rsidRDefault="00513ADD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DD" w:rsidRDefault="00513ADD" w:rsidP="00116C34">
      <w:r>
        <w:separator/>
      </w:r>
    </w:p>
  </w:footnote>
  <w:footnote w:type="continuationSeparator" w:id="0">
    <w:p w:rsidR="00513ADD" w:rsidRDefault="00513ADD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F24"/>
    <w:multiLevelType w:val="hybridMultilevel"/>
    <w:tmpl w:val="CB344206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F876879"/>
    <w:multiLevelType w:val="singleLevel"/>
    <w:tmpl w:val="D92CF4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cs="Times New Roman" w:hint="eastAsia"/>
      </w:rPr>
    </w:lvl>
  </w:abstractNum>
  <w:abstractNum w:abstractNumId="2">
    <w:nsid w:val="27C44AF0"/>
    <w:multiLevelType w:val="hybridMultilevel"/>
    <w:tmpl w:val="6E5E9EA4"/>
    <w:lvl w:ilvl="0" w:tplc="104452B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3">
    <w:nsid w:val="283B08BB"/>
    <w:multiLevelType w:val="hybridMultilevel"/>
    <w:tmpl w:val="47087DFA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5A2482D"/>
    <w:multiLevelType w:val="hybridMultilevel"/>
    <w:tmpl w:val="06C86634"/>
    <w:lvl w:ilvl="0" w:tplc="4F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8141E43"/>
    <w:multiLevelType w:val="hybridMultilevel"/>
    <w:tmpl w:val="DE540060"/>
    <w:lvl w:ilvl="0" w:tplc="9C864198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D9547DD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1D07965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F3603F9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6D8543B"/>
    <w:multiLevelType w:val="hybridMultilevel"/>
    <w:tmpl w:val="B8425974"/>
    <w:lvl w:ilvl="0" w:tplc="B00E99B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6F64BA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6F64BA1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15651A6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1C561D2"/>
    <w:multiLevelType w:val="hybridMultilevel"/>
    <w:tmpl w:val="96FCB102"/>
    <w:lvl w:ilvl="0" w:tplc="AD02A80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E5437DA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15456"/>
    <w:rsid w:val="0003537A"/>
    <w:rsid w:val="00063D3B"/>
    <w:rsid w:val="00080E9C"/>
    <w:rsid w:val="001015B8"/>
    <w:rsid w:val="00116C34"/>
    <w:rsid w:val="0015335B"/>
    <w:rsid w:val="001657AD"/>
    <w:rsid w:val="001718B3"/>
    <w:rsid w:val="00184D6D"/>
    <w:rsid w:val="001A70E3"/>
    <w:rsid w:val="002310B0"/>
    <w:rsid w:val="00253487"/>
    <w:rsid w:val="00262592"/>
    <w:rsid w:val="002C7AA5"/>
    <w:rsid w:val="002E393A"/>
    <w:rsid w:val="00331FAA"/>
    <w:rsid w:val="00336E0E"/>
    <w:rsid w:val="003E2F1E"/>
    <w:rsid w:val="00461850"/>
    <w:rsid w:val="00477F1D"/>
    <w:rsid w:val="004F4296"/>
    <w:rsid w:val="00513ADD"/>
    <w:rsid w:val="0052746E"/>
    <w:rsid w:val="00555498"/>
    <w:rsid w:val="00575528"/>
    <w:rsid w:val="005D1159"/>
    <w:rsid w:val="005E043D"/>
    <w:rsid w:val="0061402D"/>
    <w:rsid w:val="006477E8"/>
    <w:rsid w:val="00653EF3"/>
    <w:rsid w:val="00684C58"/>
    <w:rsid w:val="00687DED"/>
    <w:rsid w:val="007160F2"/>
    <w:rsid w:val="007249ED"/>
    <w:rsid w:val="007319FC"/>
    <w:rsid w:val="00756597"/>
    <w:rsid w:val="00757CA7"/>
    <w:rsid w:val="00780962"/>
    <w:rsid w:val="007C387C"/>
    <w:rsid w:val="007C682A"/>
    <w:rsid w:val="007E221B"/>
    <w:rsid w:val="007F1027"/>
    <w:rsid w:val="00885E2C"/>
    <w:rsid w:val="009021E2"/>
    <w:rsid w:val="00945CE6"/>
    <w:rsid w:val="009509EE"/>
    <w:rsid w:val="00976040"/>
    <w:rsid w:val="009A2ED0"/>
    <w:rsid w:val="009A7486"/>
    <w:rsid w:val="009C0D80"/>
    <w:rsid w:val="009D13DB"/>
    <w:rsid w:val="009E5E5D"/>
    <w:rsid w:val="00A31672"/>
    <w:rsid w:val="00A825CB"/>
    <w:rsid w:val="00AA23E7"/>
    <w:rsid w:val="00AB3199"/>
    <w:rsid w:val="00B53C98"/>
    <w:rsid w:val="00B834F3"/>
    <w:rsid w:val="00BA78B1"/>
    <w:rsid w:val="00BE2B76"/>
    <w:rsid w:val="00C27DDF"/>
    <w:rsid w:val="00C93FC8"/>
    <w:rsid w:val="00D908FF"/>
    <w:rsid w:val="00D92FB1"/>
    <w:rsid w:val="00D95F69"/>
    <w:rsid w:val="00D973AB"/>
    <w:rsid w:val="00DB2FB9"/>
    <w:rsid w:val="00DE0566"/>
    <w:rsid w:val="00DF4FC4"/>
    <w:rsid w:val="00DF66C4"/>
    <w:rsid w:val="00E07483"/>
    <w:rsid w:val="00E4373B"/>
    <w:rsid w:val="00E54948"/>
    <w:rsid w:val="00F2277A"/>
    <w:rsid w:val="00F43766"/>
    <w:rsid w:val="00F461E2"/>
    <w:rsid w:val="00F515AA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uiPriority w:val="99"/>
    <w:qFormat/>
    <w:rsid w:val="007C682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4</cp:revision>
  <cp:lastPrinted>2014-09-22T08:41:00Z</cp:lastPrinted>
  <dcterms:created xsi:type="dcterms:W3CDTF">2014-10-28T10:30:00Z</dcterms:created>
  <dcterms:modified xsi:type="dcterms:W3CDTF">2016-04-13T05:13:00Z</dcterms:modified>
</cp:coreProperties>
</file>